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490D1">
      <w:pPr>
        <w:spacing w:line="640" w:lineRule="exact"/>
        <w:jc w:val="center"/>
        <w:rPr>
          <w:rFonts w:ascii="Times New Roman" w:hAnsi="Times New Roman" w:eastAsia="方正小标宋简体" w:cs="Times New Roman"/>
          <w:sz w:val="36"/>
          <w:szCs w:val="44"/>
        </w:rPr>
      </w:pPr>
      <w:r>
        <w:rPr>
          <w:rFonts w:ascii="Times New Roman" w:hAnsi="Times New Roman" w:eastAsia="方正小标宋简体" w:cs="Times New Roman"/>
          <w:sz w:val="36"/>
          <w:szCs w:val="44"/>
        </w:rPr>
        <w:t>2025年度博士后研究人员招聘公告</w:t>
      </w:r>
    </w:p>
    <w:p w14:paraId="76B6F08C">
      <w:pPr>
        <w:spacing w:line="560" w:lineRule="exact"/>
        <w:rPr>
          <w:rFonts w:ascii="Times New Roman" w:hAnsi="Times New Roman" w:eastAsia="仿宋_GB2312" w:cs="Times New Roman"/>
          <w:sz w:val="32"/>
          <w:szCs w:val="40"/>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6736"/>
      </w:tblGrid>
      <w:tr w14:paraId="19CD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4C829D67">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职位名称</w:t>
            </w:r>
          </w:p>
        </w:tc>
        <w:tc>
          <w:tcPr>
            <w:tcW w:w="6736" w:type="dxa"/>
            <w:vAlign w:val="center"/>
          </w:tcPr>
          <w:p w14:paraId="1A334BD5">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有研资源环境技术研究院（北京）有限公司</w:t>
            </w:r>
          </w:p>
        </w:tc>
      </w:tr>
      <w:tr w14:paraId="5F48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55F21D7C">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职位性质</w:t>
            </w:r>
          </w:p>
        </w:tc>
        <w:tc>
          <w:tcPr>
            <w:tcW w:w="6736" w:type="dxa"/>
            <w:vAlign w:val="center"/>
          </w:tcPr>
          <w:p w14:paraId="4918E454">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校招</w:t>
            </w:r>
          </w:p>
        </w:tc>
      </w:tr>
      <w:tr w14:paraId="1E7E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4B26BA66">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职位类别</w:t>
            </w:r>
          </w:p>
        </w:tc>
        <w:tc>
          <w:tcPr>
            <w:tcW w:w="6736" w:type="dxa"/>
            <w:vAlign w:val="center"/>
          </w:tcPr>
          <w:p w14:paraId="0C87F6A6">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研究助理</w:t>
            </w:r>
          </w:p>
        </w:tc>
      </w:tr>
      <w:tr w14:paraId="6C7E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7A4A8D60">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工作地址</w:t>
            </w:r>
          </w:p>
        </w:tc>
        <w:tc>
          <w:tcPr>
            <w:tcW w:w="6736" w:type="dxa"/>
            <w:vAlign w:val="center"/>
          </w:tcPr>
          <w:p w14:paraId="527BEB43">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北京市怀柔区雁栖经济开发区兴科东大街11号</w:t>
            </w:r>
          </w:p>
        </w:tc>
      </w:tr>
      <w:tr w14:paraId="3CD1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51B63567">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薪资待遇</w:t>
            </w:r>
          </w:p>
        </w:tc>
        <w:tc>
          <w:tcPr>
            <w:tcW w:w="6736" w:type="dxa"/>
            <w:vAlign w:val="center"/>
          </w:tcPr>
          <w:p w14:paraId="4AA217BC">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sym w:font="Wingdings 2" w:char="00A3"/>
            </w:r>
            <w:r>
              <w:rPr>
                <w:rFonts w:hint="eastAsia" w:ascii="Times New Roman" w:hAnsi="Times New Roman" w:eastAsia="仿宋_GB2312" w:cs="Times New Roman"/>
                <w:sz w:val="28"/>
                <w:szCs w:val="36"/>
              </w:rPr>
              <w:t>（    元/月-    元/月）×12个月     ■面议</w:t>
            </w:r>
          </w:p>
        </w:tc>
      </w:tr>
      <w:tr w14:paraId="46FA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6F238D74">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招聘人数</w:t>
            </w:r>
          </w:p>
        </w:tc>
        <w:tc>
          <w:tcPr>
            <w:tcW w:w="6736" w:type="dxa"/>
            <w:vAlign w:val="center"/>
          </w:tcPr>
          <w:p w14:paraId="6D922A33">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 xml:space="preserve">■    3人                           </w:t>
            </w:r>
            <w:r>
              <w:rPr>
                <w:rFonts w:hint="eastAsia" w:ascii="Times New Roman" w:hAnsi="Times New Roman" w:eastAsia="仿宋_GB2312" w:cs="Times New Roman"/>
                <w:sz w:val="28"/>
                <w:szCs w:val="36"/>
              </w:rPr>
              <w:sym w:font="Wingdings 2" w:char="00A3"/>
            </w:r>
            <w:r>
              <w:rPr>
                <w:rFonts w:hint="eastAsia" w:ascii="Times New Roman" w:hAnsi="Times New Roman" w:eastAsia="仿宋_GB2312" w:cs="Times New Roman"/>
                <w:sz w:val="28"/>
                <w:szCs w:val="36"/>
              </w:rPr>
              <w:t>若干人</w:t>
            </w:r>
          </w:p>
        </w:tc>
      </w:tr>
      <w:tr w14:paraId="73AF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22532541">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学历要求</w:t>
            </w:r>
          </w:p>
        </w:tc>
        <w:tc>
          <w:tcPr>
            <w:tcW w:w="6736" w:type="dxa"/>
            <w:vAlign w:val="center"/>
          </w:tcPr>
          <w:p w14:paraId="111C3B07">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博士</w:t>
            </w:r>
          </w:p>
        </w:tc>
      </w:tr>
      <w:tr w14:paraId="334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7A760FAB">
            <w:pPr>
              <w:spacing w:line="480" w:lineRule="exact"/>
              <w:jc w:val="center"/>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专业要求</w:t>
            </w:r>
          </w:p>
        </w:tc>
        <w:tc>
          <w:tcPr>
            <w:tcW w:w="6736" w:type="dxa"/>
            <w:vAlign w:val="center"/>
          </w:tcPr>
          <w:p w14:paraId="253F07C3">
            <w:pPr>
              <w:spacing w:line="480" w:lineRule="exact"/>
              <w:rPr>
                <w:rFonts w:ascii="Times New Roman" w:hAnsi="Times New Roman" w:eastAsia="仿宋_GB2312" w:cs="Times New Roman"/>
                <w:sz w:val="28"/>
                <w:szCs w:val="36"/>
              </w:rPr>
            </w:pPr>
            <w:r>
              <w:rPr>
                <w:rFonts w:hint="eastAsia" w:ascii="Times New Roman" w:hAnsi="Times New Roman" w:eastAsia="仿宋_GB2312" w:cs="Times New Roman"/>
                <w:sz w:val="28"/>
                <w:szCs w:val="36"/>
              </w:rPr>
              <w:t>冶金工程、化学工程、矿物加工、材料科学与工程、材料物理，材料化学</w:t>
            </w:r>
          </w:p>
        </w:tc>
      </w:tr>
      <w:tr w14:paraId="331E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2" w:hRule="atLeast"/>
        </w:trPr>
        <w:tc>
          <w:tcPr>
            <w:tcW w:w="8522" w:type="dxa"/>
            <w:gridSpan w:val="2"/>
          </w:tcPr>
          <w:p w14:paraId="3D2BF053">
            <w:pPr>
              <w:spacing w:line="480" w:lineRule="exact"/>
              <w:rPr>
                <w:rFonts w:ascii="Times New Roman" w:hAnsi="Times New Roman" w:eastAsia="仿宋_GB2312" w:cs="Times New Roman"/>
                <w:sz w:val="24"/>
              </w:rPr>
            </w:pPr>
            <w:r>
              <w:rPr>
                <w:rFonts w:hint="eastAsia" w:ascii="Times New Roman" w:hAnsi="Times New Roman" w:eastAsia="仿宋_GB2312" w:cs="Times New Roman"/>
                <w:sz w:val="24"/>
              </w:rPr>
              <w:t>职位描述（2000字以内）：</w:t>
            </w:r>
          </w:p>
          <w:p w14:paraId="5F69756D">
            <w:pPr>
              <w:rPr>
                <w:rFonts w:hint="eastAsia" w:ascii="黑体" w:hAnsi="黑体" w:eastAsia="黑体"/>
                <w:b/>
                <w:bCs/>
                <w:sz w:val="24"/>
              </w:rPr>
            </w:pPr>
            <w:r>
              <w:rPr>
                <w:rFonts w:hint="eastAsia" w:ascii="黑体" w:hAnsi="黑体" w:eastAsia="黑体"/>
                <w:b/>
                <w:bCs/>
                <w:sz w:val="24"/>
              </w:rPr>
              <w:t>一、公司简介</w:t>
            </w:r>
          </w:p>
          <w:p w14:paraId="6BCAB382">
            <w:pPr>
              <w:ind w:firstLine="480" w:firstLineChars="200"/>
              <w:rPr>
                <w:rFonts w:hint="eastAsia" w:ascii="仿宋_GB2312" w:eastAsia="仿宋_GB2312"/>
                <w:bCs/>
                <w:sz w:val="24"/>
              </w:rPr>
            </w:pPr>
            <w:r>
              <w:rPr>
                <w:rFonts w:hint="eastAsia" w:ascii="仿宋_GB2312" w:eastAsia="仿宋_GB2312"/>
                <w:bCs/>
                <w:sz w:val="24"/>
              </w:rPr>
              <w:t>有研资源环境技术研究院（北京）有限公司（简称有研资环院）成立于2019年6月，全面承继并提升了有研集团在有色金属选冶、功能新材料、生态环保领域和资源开发领域的科技创新能力。拥有高品质有色金属绿色特种冶金国家工程研究中心和战略性有色金属绿色制造技术北京市工程研究中心，被认定为国家级高新技术企业、国家专精特新小巨人企业。近70年来，王淀佐、李东英、张国成、黄小卫等4名院士为之做出过卓越贡献，共承担国家、省部级科技开发项目630余项，有效授权发明专利200余项，获得省部级以上奖励120余项，为国内外近150家大型矿冶公司解决了大量的工程技术问题。为我国有色金属工业发展及生态环境建设提供了强有力的科技支撑。公司主要产品冶金电极、镀膜材料和靶材等已广泛用于亚洲、欧洲、北美等地区。</w:t>
            </w:r>
          </w:p>
          <w:p w14:paraId="5A55650E">
            <w:pPr>
              <w:ind w:firstLine="480" w:firstLineChars="200"/>
              <w:rPr>
                <w:rFonts w:hint="eastAsia" w:ascii="仿宋_GB2312" w:eastAsia="仿宋_GB2312"/>
                <w:bCs/>
                <w:sz w:val="24"/>
              </w:rPr>
            </w:pPr>
            <w:r>
              <w:rPr>
                <w:rFonts w:hint="eastAsia" w:ascii="仿宋_GB2312" w:eastAsia="仿宋_GB2312"/>
                <w:bCs/>
                <w:sz w:val="24"/>
              </w:rPr>
              <w:t>有研资环院目前主要从事绿色选冶、高纯金属及制品、功能材料、环境保护等领域的基础理论、新技术、新材料、新装备研发及生产服务，具有先进研发设施和试验条件，可进行小试、中试和产业化应用研发试验，还拥有材料产品的批量生产能力，具有承担重大科技攻关任务和解决复杂技术难题的综合研究实力。研发中心位于有研集团怀柔基地北京怀柔综合性国家科学中心有色金属新材料科创园，中试及产业基地位于有研集团二部基地（通州区），总建筑面积13500平方米。</w:t>
            </w:r>
          </w:p>
          <w:p w14:paraId="1912BA68">
            <w:pPr>
              <w:ind w:firstLine="480" w:firstLineChars="200"/>
              <w:rPr>
                <w:rFonts w:hint="eastAsia" w:ascii="仿宋_GB2312" w:eastAsia="仿宋_GB2312"/>
                <w:bCs/>
                <w:sz w:val="24"/>
              </w:rPr>
            </w:pPr>
            <w:r>
              <w:rPr>
                <w:rFonts w:hint="eastAsia" w:ascii="仿宋_GB2312" w:eastAsia="仿宋_GB2312"/>
                <w:bCs/>
                <w:sz w:val="24"/>
              </w:rPr>
              <w:t>有研资环院现有绿色选冶事业部、功能材料事业部、环境保护事业部、分析测试中心四个业务部门，从事有色金属资源绿色高效选矿冶金技术、功能新材料、生态环保技术、</w:t>
            </w:r>
            <w:r>
              <w:rPr>
                <w:rFonts w:ascii="仿宋_GB2312" w:eastAsia="仿宋_GB2312"/>
                <w:bCs/>
                <w:sz w:val="24"/>
              </w:rPr>
              <w:t>工艺矿物学研究与分析检测</w:t>
            </w:r>
            <w:r>
              <w:rPr>
                <w:rFonts w:hint="eastAsia" w:ascii="仿宋_GB2312" w:eastAsia="仿宋_GB2312"/>
                <w:bCs/>
                <w:sz w:val="24"/>
              </w:rPr>
              <w:t>技术的研发、生产与服务。公司拥有一支以王淀佐院士为学术带头人的高素质人才队伍，截止2025年3月，公司团队人员170余人，享受政府津贴专家2人，新世纪国家百千万人才1人，科技北京百名领军1人、杰出青年工程师1人、中国科协青年人才托举1人，北京市科技新星4人；正高级、高级工程师58人，博士生导师6人，硕士生导师17人，在学硕、博士研究生30余人，其中博士研究生16人。</w:t>
            </w:r>
          </w:p>
          <w:p w14:paraId="7E85E5F8">
            <w:pPr>
              <w:rPr>
                <w:rFonts w:hint="eastAsia" w:ascii="仿宋_GB2312" w:eastAsia="仿宋_GB2312"/>
                <w:bCs/>
                <w:sz w:val="24"/>
              </w:rPr>
            </w:pPr>
          </w:p>
          <w:p w14:paraId="71D45227">
            <w:pPr>
              <w:rPr>
                <w:rFonts w:hint="eastAsia" w:ascii="仿宋_GB2312" w:eastAsia="仿宋_GB2312"/>
                <w:bCs/>
                <w:sz w:val="24"/>
              </w:rPr>
            </w:pPr>
            <w:r>
              <w:rPr>
                <w:rFonts w:hint="eastAsia" w:ascii="仿宋_GB2312" w:eastAsia="仿宋_GB2312"/>
                <w:bCs/>
                <w:sz w:val="24"/>
              </w:rPr>
              <w:t>绿色选冶领域：</w:t>
            </w:r>
          </w:p>
          <w:p w14:paraId="79609421">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绿色高效选矿技术与工程</w:t>
            </w:r>
          </w:p>
          <w:p w14:paraId="091FC0D6">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生物/湿法冶金技术与工程</w:t>
            </w:r>
          </w:p>
          <w:p w14:paraId="2235752F">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稀有稀散金属冶金技术与工程</w:t>
            </w:r>
          </w:p>
          <w:p w14:paraId="77DD62B0">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高纯金属提纯及制品技术</w:t>
            </w:r>
          </w:p>
          <w:p w14:paraId="031FF93F">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工艺矿物学研究与分析测试</w:t>
            </w:r>
          </w:p>
          <w:p w14:paraId="7CA98A60">
            <w:pPr>
              <w:ind w:firstLine="480" w:firstLineChars="200"/>
              <w:rPr>
                <w:rFonts w:ascii="仿宋_GB2312" w:eastAsia="仿宋_GB2312"/>
                <w:bCs/>
                <w:sz w:val="24"/>
              </w:rPr>
            </w:pPr>
            <w:r>
              <w:rPr>
                <w:rFonts w:hint="eastAsia" w:ascii="仿宋_GB2312" w:eastAsia="仿宋_GB2312"/>
                <w:bCs/>
                <w:sz w:val="24"/>
              </w:rPr>
              <w:t>拥有复杂难处理资源高效选矿、低品位资源微生物/湿法冶金、新资源（二次资源）绿色选冶协同、高纯金属提纯制备、绿色环保选冶药剂等技术，授权发明专利近100件，获国家科技进步一等奖1项，二等奖2项；省部级一等奖、二等奖20余项。</w:t>
            </w:r>
          </w:p>
          <w:p w14:paraId="0F2E7054">
            <w:pPr>
              <w:ind w:firstLine="480" w:firstLineChars="200"/>
              <w:rPr>
                <w:rFonts w:hint="eastAsia" w:ascii="仿宋_GB2312" w:eastAsia="仿宋_GB2312"/>
                <w:bCs/>
                <w:sz w:val="24"/>
              </w:rPr>
            </w:pPr>
          </w:p>
          <w:p w14:paraId="0397FCD8">
            <w:pPr>
              <w:rPr>
                <w:rFonts w:hint="eastAsia" w:ascii="仿宋_GB2312" w:eastAsia="仿宋_GB2312"/>
                <w:bCs/>
                <w:sz w:val="24"/>
              </w:rPr>
            </w:pPr>
            <w:r>
              <w:rPr>
                <w:rFonts w:hint="eastAsia" w:ascii="仿宋_GB2312" w:eastAsia="仿宋_GB2312"/>
                <w:bCs/>
                <w:sz w:val="24"/>
              </w:rPr>
              <w:t>功能材料领域：</w:t>
            </w:r>
          </w:p>
          <w:p w14:paraId="78CB9207">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光学镀膜材料</w:t>
            </w:r>
          </w:p>
          <w:p w14:paraId="34AE1326">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陶瓷溅射靶材</w:t>
            </w:r>
          </w:p>
          <w:p w14:paraId="15217558">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结构/功能陶瓷材料</w:t>
            </w:r>
          </w:p>
          <w:p w14:paraId="3F9F70F5">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中子吸收材料及器具</w:t>
            </w:r>
          </w:p>
          <w:p w14:paraId="62BD457D">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中子慢化材料</w:t>
            </w:r>
          </w:p>
          <w:p w14:paraId="121FA820">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高纯稀有金属材料及其制品</w:t>
            </w:r>
          </w:p>
          <w:p w14:paraId="638193B0">
            <w:pPr>
              <w:pStyle w:val="11"/>
              <w:numPr>
                <w:ilvl w:val="0"/>
                <w:numId w:val="1"/>
              </w:numPr>
              <w:ind w:firstLineChars="0"/>
              <w:rPr>
                <w:rFonts w:hint="eastAsia" w:ascii="仿宋_GB2312" w:eastAsia="仿宋_GB2312"/>
                <w:bCs/>
                <w:sz w:val="24"/>
                <w:szCs w:val="24"/>
              </w:rPr>
            </w:pPr>
            <w:r>
              <w:rPr>
                <w:rFonts w:hint="eastAsia" w:ascii="仿宋_GB2312" w:eastAsia="仿宋_GB2312"/>
                <w:bCs/>
                <w:sz w:val="24"/>
                <w:szCs w:val="24"/>
              </w:rPr>
              <w:t>冶化工艺配套材料</w:t>
            </w:r>
          </w:p>
          <w:p w14:paraId="7D0BAC63">
            <w:pPr>
              <w:ind w:firstLine="480" w:firstLineChars="200"/>
              <w:rPr>
                <w:rFonts w:hint="eastAsia" w:ascii="仿宋_GB2312" w:eastAsia="仿宋_GB2312"/>
                <w:bCs/>
                <w:sz w:val="24"/>
              </w:rPr>
            </w:pPr>
            <w:r>
              <w:rPr>
                <w:rFonts w:hint="eastAsia" w:ascii="仿宋_GB2312" w:eastAsia="仿宋_GB2312"/>
                <w:bCs/>
                <w:sz w:val="24"/>
              </w:rPr>
              <w:t>拥有多种高纯金属及功能材料制备与合成技术，在核用材料、精密光学、5G光通讯、新能源、电化学材料等领域拥有较强新产品及其产业化技术研发能力，授权发明专利60余件，获国家级奖项3项、省部级科技进步奖近10项。</w:t>
            </w:r>
          </w:p>
          <w:p w14:paraId="43E14FEB">
            <w:pPr>
              <w:rPr>
                <w:rFonts w:hint="eastAsia" w:ascii="仿宋_GB2312" w:eastAsia="仿宋_GB2312"/>
                <w:bCs/>
                <w:sz w:val="24"/>
              </w:rPr>
            </w:pPr>
          </w:p>
          <w:p w14:paraId="35C3D140">
            <w:pPr>
              <w:rPr>
                <w:rFonts w:hint="eastAsia" w:ascii="仿宋_GB2312" w:eastAsia="仿宋_GB2312"/>
                <w:bCs/>
                <w:sz w:val="24"/>
              </w:rPr>
            </w:pPr>
            <w:r>
              <w:rPr>
                <w:rFonts w:hint="eastAsia" w:ascii="仿宋_GB2312" w:eastAsia="仿宋_GB2312"/>
                <w:bCs/>
                <w:sz w:val="24"/>
              </w:rPr>
              <w:t>环境保护领域：</w:t>
            </w:r>
          </w:p>
          <w:p w14:paraId="343F46CA">
            <w:pPr>
              <w:pStyle w:val="11"/>
              <w:numPr>
                <w:ilvl w:val="0"/>
                <w:numId w:val="2"/>
              </w:numPr>
              <w:ind w:firstLineChars="0"/>
              <w:rPr>
                <w:rFonts w:hint="eastAsia" w:ascii="仿宋_GB2312" w:eastAsia="仿宋_GB2312"/>
                <w:bCs/>
                <w:sz w:val="24"/>
                <w:szCs w:val="24"/>
              </w:rPr>
            </w:pPr>
            <w:r>
              <w:rPr>
                <w:rFonts w:hint="eastAsia" w:ascii="仿宋_GB2312" w:eastAsia="仿宋_GB2312"/>
                <w:bCs/>
                <w:sz w:val="24"/>
                <w:szCs w:val="24"/>
              </w:rPr>
              <w:t>场地污染治理及生态修复技术及工程</w:t>
            </w:r>
          </w:p>
          <w:p w14:paraId="7A8B723F">
            <w:pPr>
              <w:pStyle w:val="11"/>
              <w:numPr>
                <w:ilvl w:val="0"/>
                <w:numId w:val="2"/>
              </w:numPr>
              <w:ind w:firstLineChars="0"/>
              <w:rPr>
                <w:rFonts w:hint="eastAsia" w:ascii="仿宋_GB2312" w:eastAsia="仿宋_GB2312"/>
                <w:bCs/>
                <w:sz w:val="24"/>
                <w:szCs w:val="24"/>
              </w:rPr>
            </w:pPr>
            <w:r>
              <w:rPr>
                <w:rFonts w:hint="eastAsia" w:ascii="仿宋_GB2312" w:eastAsia="仿宋_GB2312"/>
                <w:bCs/>
                <w:sz w:val="24"/>
                <w:szCs w:val="24"/>
              </w:rPr>
              <w:t>水资源化技术及装备</w:t>
            </w:r>
          </w:p>
          <w:p w14:paraId="52AAC3EF">
            <w:pPr>
              <w:pStyle w:val="11"/>
              <w:numPr>
                <w:ilvl w:val="0"/>
                <w:numId w:val="2"/>
              </w:numPr>
              <w:ind w:firstLineChars="0"/>
              <w:rPr>
                <w:rFonts w:hint="eastAsia" w:ascii="仿宋_GB2312" w:eastAsia="仿宋_GB2312"/>
                <w:bCs/>
                <w:sz w:val="24"/>
                <w:szCs w:val="24"/>
              </w:rPr>
            </w:pPr>
            <w:r>
              <w:rPr>
                <w:rFonts w:hint="eastAsia" w:ascii="仿宋_GB2312" w:eastAsia="仿宋_GB2312"/>
                <w:bCs/>
                <w:sz w:val="24"/>
                <w:szCs w:val="24"/>
              </w:rPr>
              <w:t>膜及膜分离技术工程及装备</w:t>
            </w:r>
          </w:p>
          <w:p w14:paraId="7C2B9B23">
            <w:pPr>
              <w:pStyle w:val="11"/>
              <w:numPr>
                <w:ilvl w:val="0"/>
                <w:numId w:val="2"/>
              </w:numPr>
              <w:ind w:firstLineChars="0"/>
              <w:rPr>
                <w:rFonts w:hint="eastAsia" w:ascii="仿宋_GB2312" w:eastAsia="仿宋_GB2312"/>
                <w:bCs/>
                <w:sz w:val="24"/>
                <w:szCs w:val="24"/>
              </w:rPr>
            </w:pPr>
            <w:r>
              <w:rPr>
                <w:rFonts w:hint="eastAsia" w:ascii="仿宋_GB2312" w:eastAsia="仿宋_GB2312"/>
                <w:bCs/>
                <w:sz w:val="24"/>
                <w:szCs w:val="24"/>
              </w:rPr>
              <w:t>微生物土壤改良技术及产品</w:t>
            </w:r>
          </w:p>
          <w:p w14:paraId="2FEB7C76">
            <w:pPr>
              <w:pStyle w:val="11"/>
              <w:numPr>
                <w:ilvl w:val="0"/>
                <w:numId w:val="2"/>
              </w:numPr>
              <w:ind w:firstLineChars="0"/>
              <w:rPr>
                <w:rFonts w:hint="eastAsia" w:ascii="仿宋_GB2312" w:eastAsia="仿宋_GB2312"/>
                <w:bCs/>
                <w:sz w:val="24"/>
                <w:szCs w:val="24"/>
              </w:rPr>
            </w:pPr>
            <w:r>
              <w:rPr>
                <w:rFonts w:hint="eastAsia" w:ascii="仿宋_GB2312" w:eastAsia="仿宋_GB2312"/>
                <w:bCs/>
                <w:sz w:val="24"/>
                <w:szCs w:val="24"/>
              </w:rPr>
              <w:t>固废/危废资源化技术</w:t>
            </w:r>
          </w:p>
          <w:p w14:paraId="78128053">
            <w:pPr>
              <w:ind w:firstLine="480" w:firstLineChars="200"/>
              <w:rPr>
                <w:rFonts w:hint="eastAsia" w:ascii="仿宋_GB2312" w:eastAsia="仿宋_GB2312"/>
                <w:bCs/>
                <w:sz w:val="24"/>
              </w:rPr>
            </w:pPr>
            <w:r>
              <w:rPr>
                <w:rFonts w:hint="eastAsia" w:ascii="仿宋_GB2312" w:eastAsia="仿宋_GB2312"/>
                <w:bCs/>
                <w:sz w:val="24"/>
              </w:rPr>
              <w:t>拥有重金属污染物治理及生态修复技术、膜及膜分离技术、水体治理技术及装备等，授权发明专利40余件，获省部级科技进步一等奖2项、二等奖5项。</w:t>
            </w:r>
          </w:p>
          <w:p w14:paraId="0B7F8094">
            <w:pPr>
              <w:ind w:firstLine="480" w:firstLineChars="200"/>
              <w:rPr>
                <w:rFonts w:hint="eastAsia" w:ascii="仿宋_GB2312" w:eastAsia="仿宋_GB2312"/>
                <w:bCs/>
                <w:sz w:val="24"/>
              </w:rPr>
            </w:pPr>
          </w:p>
          <w:p w14:paraId="256F6DE1">
            <w:pPr>
              <w:rPr>
                <w:rFonts w:hint="eastAsia" w:ascii="黑体" w:hAnsi="黑体" w:eastAsia="黑体"/>
                <w:b/>
                <w:bCs/>
                <w:sz w:val="24"/>
              </w:rPr>
            </w:pPr>
            <w:r>
              <w:rPr>
                <w:rFonts w:hint="eastAsia" w:ascii="黑体" w:hAnsi="黑体" w:eastAsia="黑体"/>
                <w:b/>
                <w:bCs/>
                <w:sz w:val="24"/>
              </w:rPr>
              <w:t>二、招收方向</w:t>
            </w:r>
          </w:p>
          <w:tbl>
            <w:tblPr>
              <w:tblStyle w:val="5"/>
              <w:tblW w:w="8121" w:type="dxa"/>
              <w:tblInd w:w="0" w:type="dxa"/>
              <w:tblLayout w:type="autofit"/>
              <w:tblCellMar>
                <w:top w:w="0" w:type="dxa"/>
                <w:left w:w="108" w:type="dxa"/>
                <w:bottom w:w="0" w:type="dxa"/>
                <w:right w:w="108" w:type="dxa"/>
              </w:tblCellMar>
            </w:tblPr>
            <w:tblGrid>
              <w:gridCol w:w="440"/>
              <w:gridCol w:w="1534"/>
              <w:gridCol w:w="2866"/>
              <w:gridCol w:w="1050"/>
              <w:gridCol w:w="695"/>
              <w:gridCol w:w="1536"/>
            </w:tblGrid>
            <w:tr w14:paraId="07AE41BF">
              <w:tblPrEx>
                <w:tblCellMar>
                  <w:top w:w="0" w:type="dxa"/>
                  <w:left w:w="108" w:type="dxa"/>
                  <w:bottom w:w="0" w:type="dxa"/>
                  <w:right w:w="108" w:type="dxa"/>
                </w:tblCellMar>
              </w:tblPrEx>
              <w:trPr>
                <w:trHeight w:val="658" w:hRule="atLeast"/>
              </w:trPr>
              <w:tc>
                <w:tcPr>
                  <w:tcW w:w="281" w:type="pct"/>
                  <w:tcBorders>
                    <w:top w:val="double" w:color="auto" w:sz="6" w:space="0"/>
                    <w:left w:val="double" w:color="auto" w:sz="6" w:space="0"/>
                    <w:bottom w:val="double" w:color="auto" w:sz="6" w:space="0"/>
                    <w:right w:val="double" w:color="auto" w:sz="6" w:space="0"/>
                  </w:tcBorders>
                  <w:shd w:val="clear" w:color="000000" w:fill="99CCFF"/>
                  <w:vAlign w:val="center"/>
                </w:tcPr>
                <w:p w14:paraId="3ED713CD">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954" w:type="pct"/>
                  <w:tcBorders>
                    <w:top w:val="double" w:color="auto" w:sz="6" w:space="0"/>
                    <w:left w:val="nil"/>
                    <w:bottom w:val="double" w:color="auto" w:sz="6" w:space="0"/>
                    <w:right w:val="double" w:color="auto" w:sz="6" w:space="0"/>
                  </w:tcBorders>
                  <w:shd w:val="clear" w:color="000000" w:fill="99CCFF"/>
                  <w:vAlign w:val="center"/>
                </w:tcPr>
                <w:p w14:paraId="583D6796">
                  <w:pPr>
                    <w:widowControl/>
                    <w:jc w:val="center"/>
                    <w:rPr>
                      <w:rFonts w:ascii="宋体" w:hAnsi="宋体" w:eastAsia="宋体" w:cs="宋体"/>
                      <w:b/>
                      <w:bCs/>
                      <w:kern w:val="0"/>
                      <w:sz w:val="22"/>
                      <w:szCs w:val="22"/>
                    </w:rPr>
                  </w:pPr>
                  <w:r>
                    <w:rPr>
                      <w:rFonts w:hint="eastAsia" w:ascii="宋体" w:hAnsi="宋体" w:eastAsia="宋体" w:cs="宋体"/>
                      <w:b/>
                      <w:bCs/>
                      <w:kern w:val="0"/>
                      <w:sz w:val="22"/>
                      <w:szCs w:val="22"/>
                    </w:rPr>
                    <w:t>招收学科</w:t>
                  </w:r>
                </w:p>
                <w:p w14:paraId="5C1F68C0">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专业</w:t>
                  </w:r>
                </w:p>
              </w:tc>
              <w:tc>
                <w:tcPr>
                  <w:tcW w:w="1774" w:type="pct"/>
                  <w:tcBorders>
                    <w:top w:val="double" w:color="auto" w:sz="6" w:space="0"/>
                    <w:left w:val="nil"/>
                    <w:bottom w:val="double" w:color="auto" w:sz="6" w:space="0"/>
                    <w:right w:val="double" w:color="auto" w:sz="6" w:space="0"/>
                  </w:tcBorders>
                  <w:shd w:val="clear" w:color="000000" w:fill="99CCFF"/>
                  <w:vAlign w:val="center"/>
                </w:tcPr>
                <w:p w14:paraId="3C028051">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拟安排团队/依托科研项目</w:t>
                  </w:r>
                </w:p>
              </w:tc>
              <w:tc>
                <w:tcPr>
                  <w:tcW w:w="656" w:type="pct"/>
                  <w:tcBorders>
                    <w:top w:val="double" w:color="auto" w:sz="6" w:space="0"/>
                    <w:left w:val="nil"/>
                    <w:bottom w:val="double" w:color="auto" w:sz="6" w:space="0"/>
                    <w:right w:val="double" w:color="auto" w:sz="6" w:space="0"/>
                  </w:tcBorders>
                  <w:shd w:val="clear" w:color="000000" w:fill="99CCFF"/>
                  <w:vAlign w:val="center"/>
                </w:tcPr>
                <w:p w14:paraId="470172DA">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合作导师姓名</w:t>
                  </w:r>
                </w:p>
              </w:tc>
              <w:tc>
                <w:tcPr>
                  <w:tcW w:w="437" w:type="pct"/>
                  <w:tcBorders>
                    <w:top w:val="double" w:color="auto" w:sz="6" w:space="0"/>
                    <w:left w:val="nil"/>
                    <w:bottom w:val="double" w:color="auto" w:sz="6" w:space="0"/>
                    <w:right w:val="double" w:color="auto" w:sz="6" w:space="0"/>
                  </w:tcBorders>
                  <w:shd w:val="clear" w:color="000000" w:fill="99CCFF"/>
                  <w:vAlign w:val="center"/>
                </w:tcPr>
                <w:p w14:paraId="1D9FDD5B">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计划招收人数</w:t>
                  </w:r>
                </w:p>
              </w:tc>
              <w:tc>
                <w:tcPr>
                  <w:tcW w:w="898" w:type="pct"/>
                  <w:tcBorders>
                    <w:top w:val="double" w:color="auto" w:sz="6" w:space="0"/>
                    <w:left w:val="nil"/>
                    <w:bottom w:val="double" w:color="auto" w:sz="6" w:space="0"/>
                    <w:right w:val="double" w:color="auto" w:sz="6" w:space="0"/>
                  </w:tcBorders>
                  <w:shd w:val="clear" w:color="000000" w:fill="99CCFF"/>
                  <w:vAlign w:val="center"/>
                </w:tcPr>
                <w:p w14:paraId="18FB9C77">
                  <w:pPr>
                    <w:widowControl/>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联系方式</w:t>
                  </w:r>
                </w:p>
              </w:tc>
            </w:tr>
            <w:tr w14:paraId="19A5E3E0">
              <w:tblPrEx>
                <w:tblCellMar>
                  <w:top w:w="0" w:type="dxa"/>
                  <w:left w:w="108" w:type="dxa"/>
                  <w:bottom w:w="0" w:type="dxa"/>
                  <w:right w:w="108" w:type="dxa"/>
                </w:tblCellMar>
              </w:tblPrEx>
              <w:trPr>
                <w:trHeight w:val="992" w:hRule="atLeast"/>
              </w:trPr>
              <w:tc>
                <w:tcPr>
                  <w:tcW w:w="28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1CFEEC">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54" w:type="pct"/>
                  <w:tcBorders>
                    <w:top w:val="single" w:color="auto" w:sz="4" w:space="0"/>
                    <w:left w:val="nil"/>
                    <w:bottom w:val="single" w:color="auto" w:sz="4" w:space="0"/>
                    <w:right w:val="single" w:color="auto" w:sz="4" w:space="0"/>
                  </w:tcBorders>
                  <w:shd w:val="clear" w:color="auto" w:fill="auto"/>
                  <w:vAlign w:val="center"/>
                </w:tcPr>
                <w:p w14:paraId="4A6C88F6">
                  <w:pPr>
                    <w:widowControl/>
                    <w:jc w:val="center"/>
                    <w:rPr>
                      <w:rFonts w:hint="eastAsia" w:ascii="仿宋_GB2312" w:hAnsi="宋体" w:eastAsia="仿宋_GB2312" w:cs="宋体"/>
                      <w:color w:val="000000"/>
                      <w:kern w:val="0"/>
                      <w:sz w:val="22"/>
                      <w:szCs w:val="22"/>
                    </w:rPr>
                  </w:pPr>
                  <w:r>
                    <w:rPr>
                      <w:rFonts w:hint="eastAsia" w:ascii="仿宋_GB2312" w:eastAsia="仿宋_GB2312"/>
                      <w:color w:val="000000"/>
                      <w:sz w:val="22"/>
                      <w:szCs w:val="22"/>
                    </w:rPr>
                    <w:t>冶金工程、化学工程、矿物加工、材料科学与工程</w:t>
                  </w:r>
                </w:p>
              </w:tc>
              <w:tc>
                <w:tcPr>
                  <w:tcW w:w="1774" w:type="pct"/>
                  <w:tcBorders>
                    <w:top w:val="single" w:color="auto" w:sz="4" w:space="0"/>
                    <w:left w:val="nil"/>
                    <w:bottom w:val="single" w:color="auto" w:sz="4" w:space="0"/>
                    <w:right w:val="single" w:color="auto" w:sz="4" w:space="0"/>
                  </w:tcBorders>
                  <w:shd w:val="clear" w:color="auto" w:fill="auto"/>
                  <w:vAlign w:val="center"/>
                </w:tcPr>
                <w:p w14:paraId="40CF2E6B">
                  <w:pPr>
                    <w:widowControl/>
                    <w:jc w:val="center"/>
                    <w:rPr>
                      <w:rFonts w:hint="eastAsia" w:ascii="仿宋_GB2312" w:hAnsi="宋体" w:eastAsia="仿宋_GB2312" w:cs="宋体"/>
                      <w:color w:val="000000"/>
                      <w:kern w:val="0"/>
                      <w:sz w:val="22"/>
                      <w:szCs w:val="22"/>
                    </w:rPr>
                  </w:pPr>
                  <w:r>
                    <w:rPr>
                      <w:rFonts w:hint="eastAsia" w:ascii="仿宋_GB2312" w:eastAsia="仿宋_GB2312"/>
                      <w:color w:val="000000"/>
                      <w:sz w:val="22"/>
                      <w:szCs w:val="22"/>
                    </w:rPr>
                    <w:t>复杂铌钽铍资源禀赋特性及选冶基础研究/低品位铌钽矿多场耦合高效富集分离技术及示范/复杂铌钽精矿强化浸出与深度除杂关键技术及示范</w:t>
                  </w:r>
                </w:p>
              </w:tc>
              <w:tc>
                <w:tcPr>
                  <w:tcW w:w="656" w:type="pct"/>
                  <w:tcBorders>
                    <w:top w:val="single" w:color="auto" w:sz="4" w:space="0"/>
                    <w:left w:val="nil"/>
                    <w:bottom w:val="single" w:color="auto" w:sz="4" w:space="0"/>
                    <w:right w:val="single" w:color="auto" w:sz="4" w:space="0"/>
                  </w:tcBorders>
                  <w:shd w:val="clear" w:color="auto" w:fill="auto"/>
                  <w:vAlign w:val="center"/>
                </w:tcPr>
                <w:p w14:paraId="67348BAC">
                  <w:pPr>
                    <w:widowControl/>
                    <w:jc w:val="center"/>
                    <w:rPr>
                      <w:rFonts w:hint="eastAsia" w:ascii="仿宋_GB2312" w:hAnsi="宋体" w:eastAsia="仿宋_GB2312" w:cs="宋体"/>
                      <w:color w:val="000000"/>
                      <w:kern w:val="0"/>
                      <w:sz w:val="22"/>
                      <w:szCs w:val="22"/>
                    </w:rPr>
                  </w:pPr>
                  <w:r>
                    <w:rPr>
                      <w:rFonts w:hint="eastAsia" w:ascii="仿宋_GB2312" w:eastAsia="仿宋_GB2312"/>
                      <w:color w:val="000000"/>
                      <w:sz w:val="22"/>
                      <w:szCs w:val="22"/>
                    </w:rPr>
                    <w:t>姚国成/高文成</w:t>
                  </w:r>
                </w:p>
              </w:tc>
              <w:tc>
                <w:tcPr>
                  <w:tcW w:w="437" w:type="pct"/>
                  <w:tcBorders>
                    <w:top w:val="single" w:color="auto" w:sz="4" w:space="0"/>
                    <w:left w:val="nil"/>
                    <w:bottom w:val="single" w:color="auto" w:sz="4" w:space="0"/>
                    <w:right w:val="single" w:color="auto" w:sz="4" w:space="0"/>
                  </w:tcBorders>
                  <w:shd w:val="clear" w:color="auto" w:fill="auto"/>
                  <w:noWrap/>
                  <w:vAlign w:val="center"/>
                </w:tcPr>
                <w:p w14:paraId="65DF264A">
                  <w:pPr>
                    <w:widowControl/>
                    <w:jc w:val="center"/>
                    <w:rPr>
                      <w:rFonts w:hint="eastAsia" w:ascii="仿宋_GB2312" w:hAnsi="宋体" w:eastAsia="仿宋_GB2312" w:cs="宋体"/>
                      <w:color w:val="000000"/>
                      <w:kern w:val="0"/>
                      <w:sz w:val="22"/>
                      <w:szCs w:val="22"/>
                      <w:lang w:eastAsia="zh-CN"/>
                    </w:rPr>
                  </w:pPr>
                  <w:r>
                    <w:rPr>
                      <w:rFonts w:hint="eastAsia" w:ascii="仿宋_GB2312" w:eastAsia="仿宋_GB2312"/>
                      <w:color w:val="000000"/>
                      <w:sz w:val="22"/>
                      <w:szCs w:val="22"/>
                      <w:lang w:val="en-US" w:eastAsia="zh-CN"/>
                    </w:rPr>
                    <w:t>2</w:t>
                  </w:r>
                </w:p>
              </w:tc>
              <w:tc>
                <w:tcPr>
                  <w:tcW w:w="898" w:type="pct"/>
                  <w:tcBorders>
                    <w:top w:val="single" w:color="auto" w:sz="4" w:space="0"/>
                    <w:left w:val="nil"/>
                    <w:bottom w:val="single" w:color="auto" w:sz="4" w:space="0"/>
                    <w:right w:val="single" w:color="auto" w:sz="4" w:space="0"/>
                  </w:tcBorders>
                  <w:shd w:val="clear" w:color="auto" w:fill="auto"/>
                  <w:noWrap/>
                  <w:vAlign w:val="center"/>
                </w:tcPr>
                <w:p w14:paraId="3CCCD8CC">
                  <w:pPr>
                    <w:widowControl/>
                    <w:jc w:val="center"/>
                    <w:rPr>
                      <w:rFonts w:hint="eastAsia" w:ascii="仿宋_GB2312" w:hAnsi="宋体" w:eastAsia="仿宋_GB2312" w:cs="宋体"/>
                      <w:color w:val="000000"/>
                      <w:kern w:val="0"/>
                      <w:sz w:val="22"/>
                      <w:szCs w:val="22"/>
                    </w:rPr>
                  </w:pPr>
                  <w:r>
                    <w:rPr>
                      <w:rFonts w:hint="eastAsia" w:ascii="仿宋_GB2312" w:eastAsia="仿宋_GB2312"/>
                      <w:color w:val="000000"/>
                      <w:sz w:val="22"/>
                      <w:szCs w:val="22"/>
                    </w:rPr>
                    <w:t>13911270639/</w:t>
                  </w:r>
                  <w:r>
                    <w:rPr>
                      <w:rFonts w:hint="eastAsia" w:ascii="仿宋_GB2312" w:eastAsia="仿宋_GB2312"/>
                      <w:color w:val="000000"/>
                      <w:sz w:val="22"/>
                      <w:szCs w:val="22"/>
                    </w:rPr>
                    <w:br w:type="textWrapping"/>
                  </w:r>
                  <w:r>
                    <w:rPr>
                      <w:rFonts w:hint="eastAsia" w:ascii="仿宋_GB2312" w:eastAsia="仿宋_GB2312"/>
                      <w:color w:val="000000"/>
                      <w:sz w:val="22"/>
                      <w:szCs w:val="22"/>
                    </w:rPr>
                    <w:t>15652511619</w:t>
                  </w:r>
                </w:p>
              </w:tc>
            </w:tr>
            <w:tr w14:paraId="3F54306B">
              <w:tblPrEx>
                <w:tblCellMar>
                  <w:top w:w="0" w:type="dxa"/>
                  <w:left w:w="108" w:type="dxa"/>
                  <w:bottom w:w="0" w:type="dxa"/>
                  <w:right w:w="108" w:type="dxa"/>
                </w:tblCellMar>
              </w:tblPrEx>
              <w:trPr>
                <w:trHeight w:val="992" w:hRule="atLeast"/>
              </w:trPr>
              <w:tc>
                <w:tcPr>
                  <w:tcW w:w="281" w:type="pct"/>
                  <w:tcBorders>
                    <w:top w:val="nil"/>
                    <w:left w:val="single" w:color="auto" w:sz="4" w:space="0"/>
                    <w:bottom w:val="single" w:color="auto" w:sz="4" w:space="0"/>
                    <w:right w:val="single" w:color="auto" w:sz="4" w:space="0"/>
                  </w:tcBorders>
                  <w:shd w:val="clear" w:color="auto" w:fill="auto"/>
                  <w:noWrap/>
                  <w:vAlign w:val="center"/>
                </w:tcPr>
                <w:p w14:paraId="0C23D315">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954" w:type="pct"/>
                  <w:tcBorders>
                    <w:top w:val="nil"/>
                    <w:left w:val="nil"/>
                    <w:bottom w:val="single" w:color="auto" w:sz="4" w:space="0"/>
                    <w:right w:val="single" w:color="auto" w:sz="4" w:space="0"/>
                  </w:tcBorders>
                  <w:shd w:val="clear" w:color="auto" w:fill="auto"/>
                  <w:vAlign w:val="center"/>
                </w:tcPr>
                <w:p w14:paraId="556583C6">
                  <w:pPr>
                    <w:widowControl/>
                    <w:jc w:val="center"/>
                    <w:rPr>
                      <w:rFonts w:hint="eastAsia" w:ascii="仿宋_GB2312" w:hAnsi="宋体" w:eastAsia="仿宋_GB2312" w:cs="宋体"/>
                      <w:color w:val="000000"/>
                      <w:kern w:val="0"/>
                      <w:sz w:val="22"/>
                      <w:szCs w:val="22"/>
                    </w:rPr>
                  </w:pPr>
                  <w:r>
                    <w:rPr>
                      <w:rFonts w:hint="eastAsia" w:ascii="仿宋_GB2312" w:eastAsia="仿宋_GB2312"/>
                      <w:sz w:val="22"/>
                      <w:szCs w:val="22"/>
                    </w:rPr>
                    <w:t>冶金工程、材料科学与工程、材料物理、材料化学</w:t>
                  </w:r>
                </w:p>
              </w:tc>
              <w:tc>
                <w:tcPr>
                  <w:tcW w:w="1774" w:type="pct"/>
                  <w:tcBorders>
                    <w:top w:val="nil"/>
                    <w:left w:val="nil"/>
                    <w:bottom w:val="single" w:color="auto" w:sz="4" w:space="0"/>
                    <w:right w:val="single" w:color="auto" w:sz="4" w:space="0"/>
                  </w:tcBorders>
                  <w:shd w:val="clear" w:color="auto" w:fill="auto"/>
                  <w:vAlign w:val="center"/>
                </w:tcPr>
                <w:p w14:paraId="327D3725">
                  <w:pPr>
                    <w:widowControl/>
                    <w:jc w:val="center"/>
                    <w:rPr>
                      <w:rFonts w:hint="eastAsia" w:ascii="仿宋_GB2312" w:hAnsi="宋体" w:eastAsia="仿宋_GB2312" w:cs="宋体"/>
                      <w:color w:val="000000"/>
                      <w:kern w:val="0"/>
                      <w:sz w:val="22"/>
                      <w:szCs w:val="22"/>
                    </w:rPr>
                  </w:pPr>
                  <w:r>
                    <w:rPr>
                      <w:rFonts w:hint="eastAsia" w:ascii="仿宋_GB2312" w:eastAsia="仿宋_GB2312"/>
                      <w:sz w:val="22"/>
                      <w:szCs w:val="22"/>
                    </w:rPr>
                    <w:t>核用金属材料团队/高性能稀土钇基合金氢化物可控制备及服役行为评价</w:t>
                  </w:r>
                </w:p>
              </w:tc>
              <w:tc>
                <w:tcPr>
                  <w:tcW w:w="656" w:type="pct"/>
                  <w:tcBorders>
                    <w:top w:val="nil"/>
                    <w:left w:val="nil"/>
                    <w:bottom w:val="single" w:color="auto" w:sz="4" w:space="0"/>
                    <w:right w:val="single" w:color="auto" w:sz="4" w:space="0"/>
                  </w:tcBorders>
                  <w:shd w:val="clear" w:color="auto" w:fill="auto"/>
                  <w:vAlign w:val="center"/>
                </w:tcPr>
                <w:p w14:paraId="08B955B8">
                  <w:pPr>
                    <w:widowControl/>
                    <w:jc w:val="center"/>
                    <w:rPr>
                      <w:rFonts w:hint="eastAsia" w:ascii="仿宋_GB2312" w:hAnsi="宋体" w:eastAsia="仿宋_GB2312" w:cs="宋体"/>
                      <w:color w:val="000000"/>
                      <w:kern w:val="0"/>
                      <w:sz w:val="22"/>
                      <w:szCs w:val="22"/>
                    </w:rPr>
                  </w:pPr>
                  <w:r>
                    <w:rPr>
                      <w:rFonts w:hint="eastAsia" w:ascii="仿宋_GB2312" w:eastAsia="仿宋_GB2312"/>
                      <w:sz w:val="22"/>
                      <w:szCs w:val="22"/>
                    </w:rPr>
                    <w:t>闫国庆</w:t>
                  </w:r>
                </w:p>
              </w:tc>
              <w:tc>
                <w:tcPr>
                  <w:tcW w:w="437" w:type="pct"/>
                  <w:tcBorders>
                    <w:top w:val="nil"/>
                    <w:left w:val="nil"/>
                    <w:bottom w:val="single" w:color="auto" w:sz="4" w:space="0"/>
                    <w:right w:val="single" w:color="auto" w:sz="4" w:space="0"/>
                  </w:tcBorders>
                  <w:shd w:val="clear" w:color="auto" w:fill="auto"/>
                  <w:noWrap/>
                  <w:vAlign w:val="center"/>
                </w:tcPr>
                <w:p w14:paraId="491A2E10">
                  <w:pPr>
                    <w:widowControl/>
                    <w:jc w:val="center"/>
                    <w:rPr>
                      <w:rFonts w:hint="eastAsia" w:ascii="仿宋_GB2312" w:hAnsi="宋体" w:eastAsia="仿宋_GB2312" w:cs="宋体"/>
                      <w:color w:val="000000"/>
                      <w:kern w:val="0"/>
                      <w:sz w:val="22"/>
                      <w:szCs w:val="22"/>
                    </w:rPr>
                  </w:pPr>
                  <w:r>
                    <w:rPr>
                      <w:rFonts w:hint="eastAsia" w:ascii="仿宋_GB2312" w:eastAsia="仿宋_GB2312"/>
                      <w:sz w:val="22"/>
                      <w:szCs w:val="22"/>
                    </w:rPr>
                    <w:t>2</w:t>
                  </w:r>
                </w:p>
              </w:tc>
              <w:tc>
                <w:tcPr>
                  <w:tcW w:w="898" w:type="pct"/>
                  <w:tcBorders>
                    <w:top w:val="nil"/>
                    <w:left w:val="nil"/>
                    <w:bottom w:val="single" w:color="auto" w:sz="4" w:space="0"/>
                    <w:right w:val="single" w:color="auto" w:sz="4" w:space="0"/>
                  </w:tcBorders>
                  <w:shd w:val="clear" w:color="auto" w:fill="auto"/>
                  <w:vAlign w:val="center"/>
                </w:tcPr>
                <w:p w14:paraId="0C65FAD3">
                  <w:pPr>
                    <w:widowControl/>
                    <w:jc w:val="center"/>
                    <w:rPr>
                      <w:rFonts w:hint="eastAsia" w:ascii="仿宋_GB2312" w:hAnsi="宋体" w:eastAsia="仿宋_GB2312" w:cs="宋体"/>
                      <w:color w:val="000000"/>
                      <w:kern w:val="0"/>
                      <w:sz w:val="22"/>
                      <w:szCs w:val="22"/>
                    </w:rPr>
                  </w:pPr>
                  <w:r>
                    <w:rPr>
                      <w:rFonts w:hint="eastAsia" w:ascii="仿宋_GB2312" w:eastAsia="仿宋_GB2312"/>
                      <w:sz w:val="22"/>
                      <w:szCs w:val="22"/>
                    </w:rPr>
                    <w:t>18500936007</w:t>
                  </w:r>
                </w:p>
              </w:tc>
            </w:tr>
          </w:tbl>
          <w:p w14:paraId="1BD24274">
            <w:pPr>
              <w:rPr>
                <w:rFonts w:hint="eastAsia" w:ascii="仿宋_GB2312" w:eastAsia="仿宋_GB2312"/>
                <w:sz w:val="24"/>
              </w:rPr>
            </w:pPr>
          </w:p>
          <w:p w14:paraId="6C4C1DDA">
            <w:pPr>
              <w:rPr>
                <w:rFonts w:hint="eastAsia" w:ascii="黑体" w:hAnsi="黑体" w:eastAsia="黑体"/>
                <w:b/>
                <w:bCs/>
                <w:sz w:val="24"/>
              </w:rPr>
            </w:pPr>
            <w:r>
              <w:rPr>
                <w:rFonts w:hint="eastAsia" w:ascii="黑体" w:hAnsi="黑体" w:eastAsia="黑体"/>
                <w:b/>
                <w:bCs/>
                <w:sz w:val="24"/>
              </w:rPr>
              <w:t>三、应聘条件</w:t>
            </w:r>
          </w:p>
          <w:p w14:paraId="3F221980">
            <w:pPr>
              <w:numPr>
                <w:ilvl w:val="0"/>
                <w:numId w:val="3"/>
              </w:numPr>
              <w:rPr>
                <w:rFonts w:hint="eastAsia" w:ascii="仿宋_GB2312" w:eastAsia="仿宋_GB2312"/>
                <w:sz w:val="24"/>
              </w:rPr>
            </w:pPr>
            <w:r>
              <w:rPr>
                <w:rFonts w:hint="eastAsia" w:ascii="仿宋_GB2312" w:eastAsia="仿宋_GB2312"/>
                <w:sz w:val="24"/>
              </w:rPr>
              <w:t>年龄在35周岁以下、获得博士学位不超过3年的人员、申请人不能申请其博士毕业单位同一个一级学科的流动站从事博士后研究工作；</w:t>
            </w:r>
          </w:p>
          <w:p w14:paraId="1A390D28">
            <w:pPr>
              <w:numPr>
                <w:ilvl w:val="0"/>
                <w:numId w:val="3"/>
              </w:numPr>
              <w:rPr>
                <w:rFonts w:hint="eastAsia" w:ascii="仿宋_GB2312" w:eastAsia="仿宋_GB2312"/>
                <w:sz w:val="24"/>
              </w:rPr>
            </w:pPr>
            <w:r>
              <w:rPr>
                <w:rFonts w:hint="eastAsia" w:ascii="仿宋_GB2312" w:eastAsia="仿宋_GB2312"/>
                <w:sz w:val="24"/>
              </w:rPr>
              <w:t>具有较强的科研创新能力和团队协作精神；</w:t>
            </w:r>
          </w:p>
          <w:p w14:paraId="19BA8037">
            <w:pPr>
              <w:numPr>
                <w:ilvl w:val="0"/>
                <w:numId w:val="3"/>
              </w:numPr>
              <w:rPr>
                <w:rFonts w:hint="eastAsia" w:ascii="仿宋_GB2312" w:eastAsia="仿宋_GB2312"/>
                <w:sz w:val="24"/>
              </w:rPr>
            </w:pPr>
            <w:r>
              <w:rPr>
                <w:rFonts w:hint="eastAsia" w:ascii="仿宋_GB2312" w:eastAsia="仿宋_GB2312"/>
                <w:sz w:val="24"/>
              </w:rPr>
              <w:t>具有良好的学术道德，身体健康、能胜任岗位工作要求；</w:t>
            </w:r>
          </w:p>
          <w:p w14:paraId="22D578CD">
            <w:pPr>
              <w:numPr>
                <w:ilvl w:val="0"/>
                <w:numId w:val="3"/>
              </w:numPr>
              <w:rPr>
                <w:rFonts w:hint="eastAsia" w:ascii="仿宋_GB2312" w:eastAsia="仿宋_GB2312"/>
                <w:sz w:val="24"/>
              </w:rPr>
            </w:pPr>
            <w:r>
              <w:rPr>
                <w:rFonts w:hint="eastAsia" w:ascii="仿宋_GB2312" w:eastAsia="仿宋_GB2312"/>
                <w:sz w:val="24"/>
              </w:rPr>
              <w:t>目前已取得显著科研成果的申请者将予以优先考虑；</w:t>
            </w:r>
          </w:p>
          <w:p w14:paraId="72881A80">
            <w:pPr>
              <w:numPr>
                <w:ilvl w:val="0"/>
                <w:numId w:val="3"/>
              </w:numPr>
              <w:rPr>
                <w:rFonts w:hint="eastAsia" w:ascii="仿宋_GB2312" w:eastAsia="仿宋_GB2312"/>
                <w:sz w:val="24"/>
              </w:rPr>
            </w:pPr>
            <w:r>
              <w:rPr>
                <w:rFonts w:hint="eastAsia" w:ascii="仿宋_GB2312" w:eastAsia="仿宋_GB2312"/>
                <w:sz w:val="24"/>
              </w:rPr>
              <w:t>具有较强的英语阅读和写作能力；</w:t>
            </w:r>
          </w:p>
          <w:p w14:paraId="6A6D8C05">
            <w:pPr>
              <w:numPr>
                <w:ilvl w:val="0"/>
                <w:numId w:val="3"/>
              </w:numPr>
              <w:rPr>
                <w:rFonts w:hint="eastAsia" w:ascii="仿宋_GB2312" w:eastAsia="仿宋_GB2312"/>
                <w:sz w:val="24"/>
              </w:rPr>
            </w:pPr>
            <w:r>
              <w:rPr>
                <w:rFonts w:hint="eastAsia" w:ascii="仿宋_GB2312" w:eastAsia="仿宋_GB2312"/>
                <w:sz w:val="24"/>
              </w:rPr>
              <w:t>全职从事博士后研究工作。</w:t>
            </w:r>
          </w:p>
          <w:p w14:paraId="07A18ED6">
            <w:pPr>
              <w:rPr>
                <w:rFonts w:hint="eastAsia" w:ascii="仿宋_GB2312" w:eastAsia="仿宋_GB2312"/>
                <w:sz w:val="24"/>
              </w:rPr>
            </w:pPr>
          </w:p>
          <w:p w14:paraId="5BF15440">
            <w:pPr>
              <w:ind w:left="110"/>
              <w:rPr>
                <w:rFonts w:hint="eastAsia" w:ascii="黑体" w:hAnsi="黑体" w:eastAsia="黑体"/>
                <w:b/>
                <w:bCs/>
                <w:sz w:val="24"/>
              </w:rPr>
            </w:pPr>
            <w:r>
              <w:rPr>
                <w:rFonts w:hint="eastAsia" w:ascii="黑体" w:hAnsi="黑体" w:eastAsia="黑体"/>
                <w:b/>
                <w:bCs/>
                <w:sz w:val="24"/>
              </w:rPr>
              <w:t>四、聘期待遇</w:t>
            </w:r>
          </w:p>
          <w:p w14:paraId="5439F10B">
            <w:pPr>
              <w:numPr>
                <w:ilvl w:val="0"/>
                <w:numId w:val="4"/>
              </w:numPr>
              <w:rPr>
                <w:rFonts w:hint="eastAsia" w:ascii="仿宋_GB2312" w:eastAsia="仿宋_GB2312"/>
                <w:sz w:val="24"/>
              </w:rPr>
            </w:pPr>
            <w:r>
              <w:rPr>
                <w:rFonts w:hint="eastAsia" w:ascii="仿宋_GB2312" w:eastAsia="仿宋_GB2312"/>
                <w:sz w:val="24"/>
              </w:rPr>
              <w:t>博士后在站期间可申报国家资助博士后研究人员计划（含博士后创新人才支持计划）、博士后科研业绩评估考核资助、中国博士后科学基金等。</w:t>
            </w:r>
          </w:p>
          <w:p w14:paraId="4181E8D1">
            <w:pPr>
              <w:numPr>
                <w:ilvl w:val="0"/>
                <w:numId w:val="4"/>
              </w:numPr>
              <w:rPr>
                <w:rFonts w:ascii="仿宋_GB2312" w:eastAsia="仿宋_GB2312"/>
                <w:sz w:val="24"/>
              </w:rPr>
            </w:pPr>
            <w:r>
              <w:rPr>
                <w:rFonts w:hint="eastAsia" w:ascii="仿宋_GB2312" w:eastAsia="仿宋_GB2312"/>
                <w:sz w:val="24"/>
              </w:rPr>
              <w:t>博士后在站期间可享受北京市北三环附近两室一厅博士后公寓1套。</w:t>
            </w:r>
          </w:p>
          <w:p w14:paraId="4D96A0D6">
            <w:pPr>
              <w:numPr>
                <w:ilvl w:val="0"/>
                <w:numId w:val="4"/>
              </w:numPr>
              <w:rPr>
                <w:rFonts w:hint="eastAsia" w:ascii="仿宋_GB2312" w:eastAsia="仿宋_GB2312"/>
                <w:sz w:val="24"/>
              </w:rPr>
            </w:pPr>
            <w:r>
              <w:rPr>
                <w:rFonts w:hint="eastAsia" w:ascii="仿宋_GB2312" w:eastAsia="仿宋_GB2312"/>
                <w:sz w:val="24"/>
              </w:rPr>
              <w:t>留京工作博士后及随迁人员可根据出站当年落户政策办理北京市常住户口。</w:t>
            </w:r>
          </w:p>
          <w:p w14:paraId="26A5121A">
            <w:pPr>
              <w:numPr>
                <w:ilvl w:val="0"/>
                <w:numId w:val="4"/>
              </w:numPr>
              <w:rPr>
                <w:rFonts w:hint="eastAsia" w:ascii="仿宋_GB2312" w:eastAsia="仿宋_GB2312"/>
                <w:sz w:val="24"/>
              </w:rPr>
            </w:pPr>
            <w:r>
              <w:rPr>
                <w:rFonts w:hint="eastAsia" w:ascii="仿宋_GB2312" w:eastAsia="仿宋_GB2312"/>
                <w:sz w:val="24"/>
              </w:rPr>
              <w:t>博士后在站期间可为适龄子女办理上学入托。</w:t>
            </w:r>
          </w:p>
          <w:p w14:paraId="25B4398D">
            <w:pPr>
              <w:rPr>
                <w:rFonts w:hint="eastAsia" w:ascii="仿宋_GB2312" w:eastAsia="仿宋_GB2312"/>
                <w:sz w:val="24"/>
              </w:rPr>
            </w:pPr>
          </w:p>
          <w:p w14:paraId="0E10A25A">
            <w:pPr>
              <w:rPr>
                <w:rFonts w:hint="eastAsia" w:ascii="黑体" w:hAnsi="黑体" w:eastAsia="黑体"/>
                <w:b/>
                <w:bCs/>
                <w:sz w:val="24"/>
              </w:rPr>
            </w:pPr>
            <w:r>
              <w:rPr>
                <w:rFonts w:hint="eastAsia" w:ascii="黑体" w:hAnsi="黑体" w:eastAsia="黑体"/>
                <w:b/>
                <w:bCs/>
                <w:sz w:val="24"/>
              </w:rPr>
              <w:t>五、应聘方式</w:t>
            </w:r>
          </w:p>
          <w:p w14:paraId="2F311F27">
            <w:pPr>
              <w:numPr>
                <w:ilvl w:val="0"/>
                <w:numId w:val="5"/>
              </w:numPr>
              <w:rPr>
                <w:rFonts w:hint="eastAsia" w:ascii="仿宋_GB2312" w:eastAsia="仿宋_GB2312"/>
                <w:sz w:val="24"/>
              </w:rPr>
            </w:pPr>
            <w:r>
              <w:rPr>
                <w:rFonts w:hint="eastAsia" w:ascii="仿宋_GB2312" w:eastAsia="仿宋_GB2312"/>
                <w:sz w:val="24"/>
              </w:rPr>
              <w:t>应聘者将个人简历及反映本人学术水平的近5年代表性成果电子文档发给联系人。</w:t>
            </w:r>
          </w:p>
          <w:p w14:paraId="0A84E773">
            <w:pPr>
              <w:numPr>
                <w:ilvl w:val="0"/>
                <w:numId w:val="5"/>
              </w:numPr>
              <w:rPr>
                <w:rFonts w:hint="eastAsia" w:ascii="仿宋_GB2312" w:eastAsia="仿宋_GB2312"/>
                <w:sz w:val="24"/>
              </w:rPr>
            </w:pPr>
            <w:r>
              <w:rPr>
                <w:rFonts w:hint="eastAsia" w:ascii="仿宋_GB2312" w:eastAsia="仿宋_GB2312"/>
                <w:sz w:val="24"/>
              </w:rPr>
              <w:t>初审合格者将被通知面试，面试请准备如下材料给专家组审核：</w:t>
            </w:r>
          </w:p>
          <w:p w14:paraId="27AFD6CF">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sz w:val="24"/>
              </w:rPr>
            </w:pPr>
            <w:r>
              <w:rPr>
                <w:rFonts w:hint="eastAsia" w:ascii="仿宋_GB2312" w:eastAsia="仿宋_GB2312"/>
                <w:sz w:val="24"/>
              </w:rPr>
              <w:t>a个人简历</w:t>
            </w:r>
          </w:p>
          <w:p w14:paraId="1FD087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sz w:val="24"/>
              </w:rPr>
            </w:pPr>
            <w:r>
              <w:rPr>
                <w:rFonts w:hint="eastAsia" w:ascii="仿宋_GB2312" w:eastAsia="仿宋_GB2312"/>
                <w:sz w:val="24"/>
              </w:rPr>
              <w:t>b学位证明复印件</w:t>
            </w:r>
          </w:p>
          <w:p w14:paraId="1DE0DFF1">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sz w:val="24"/>
              </w:rPr>
            </w:pPr>
            <w:r>
              <w:rPr>
                <w:rFonts w:hint="eastAsia" w:ascii="仿宋_GB2312" w:eastAsia="仿宋_GB2312"/>
                <w:sz w:val="24"/>
              </w:rPr>
              <w:t>c反映本人学术水平的近5年代表性成果复印件</w:t>
            </w:r>
          </w:p>
          <w:p w14:paraId="56FBDD8B">
            <w:pPr>
              <w:rPr>
                <w:rFonts w:hint="eastAsia" w:ascii="仿宋_GB2312" w:eastAsia="仿宋_GB2312"/>
                <w:sz w:val="24"/>
              </w:rPr>
            </w:pPr>
          </w:p>
          <w:p w14:paraId="176EF1CB">
            <w:pPr>
              <w:rPr>
                <w:rFonts w:hint="eastAsia" w:ascii="黑体" w:hAnsi="黑体" w:eastAsia="黑体"/>
                <w:b/>
                <w:bCs/>
                <w:sz w:val="24"/>
              </w:rPr>
            </w:pPr>
            <w:r>
              <w:rPr>
                <w:rFonts w:hint="eastAsia" w:ascii="黑体" w:hAnsi="黑体" w:eastAsia="黑体"/>
                <w:b/>
                <w:bCs/>
                <w:sz w:val="24"/>
              </w:rPr>
              <w:t>六、联系方式</w:t>
            </w:r>
          </w:p>
          <w:p w14:paraId="163EB97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sz w:val="24"/>
              </w:rPr>
            </w:pPr>
            <w:r>
              <w:rPr>
                <w:rFonts w:hint="eastAsia" w:ascii="仿宋_GB2312" w:eastAsia="仿宋_GB2312"/>
                <w:sz w:val="24"/>
              </w:rPr>
              <w:t>联系人：尹经理</w:t>
            </w:r>
          </w:p>
          <w:p w14:paraId="7F5EA17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sz w:val="24"/>
              </w:rPr>
            </w:pPr>
            <w:r>
              <w:rPr>
                <w:rFonts w:hint="eastAsia" w:ascii="仿宋_GB2312" w:eastAsia="仿宋_GB2312"/>
                <w:sz w:val="24"/>
              </w:rPr>
              <w:t>联系电话：010-60662736</w:t>
            </w:r>
          </w:p>
          <w:p w14:paraId="0E45B8A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sz w:val="24"/>
              </w:rPr>
            </w:pPr>
            <w:r>
              <w:rPr>
                <w:rFonts w:hint="eastAsia" w:ascii="仿宋_GB2312" w:eastAsia="仿宋_GB2312"/>
                <w:sz w:val="24"/>
              </w:rPr>
              <w:t>邮箱：</w:t>
            </w:r>
            <w:r>
              <w:fldChar w:fldCharType="begin"/>
            </w:r>
            <w:r>
              <w:instrText xml:space="preserve"> HYPERLINK "mailto:grirethr@grinm.com" </w:instrText>
            </w:r>
            <w:r>
              <w:fldChar w:fldCharType="separate"/>
            </w:r>
            <w:r>
              <w:rPr>
                <w:rStyle w:val="8"/>
                <w:rFonts w:ascii="仿宋_GB2312" w:eastAsia="仿宋_GB2312"/>
                <w:sz w:val="24"/>
              </w:rPr>
              <w:t>grirethr@</w:t>
            </w:r>
            <w:r>
              <w:rPr>
                <w:rStyle w:val="8"/>
                <w:rFonts w:hint="eastAsia" w:ascii="仿宋_GB2312" w:eastAsia="仿宋_GB2312"/>
                <w:sz w:val="24"/>
              </w:rPr>
              <w:t>grinm.com</w:t>
            </w:r>
            <w:r>
              <w:rPr>
                <w:rStyle w:val="8"/>
                <w:rFonts w:hint="eastAsia" w:ascii="仿宋_GB2312" w:eastAsia="仿宋_GB2312"/>
                <w:sz w:val="24"/>
              </w:rPr>
              <w:fldChar w:fldCharType="end"/>
            </w:r>
            <w:r>
              <w:rPr>
                <w:rFonts w:hint="eastAsia" w:ascii="仿宋_GB2312" w:eastAsia="仿宋_GB2312"/>
                <w:sz w:val="24"/>
              </w:rPr>
              <w:t>（邮件标题格式：应聘博士后+姓名）</w:t>
            </w:r>
          </w:p>
          <w:p w14:paraId="4C5E2B2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eastAsia="仿宋_GB2312"/>
                <w:sz w:val="24"/>
              </w:rPr>
            </w:pPr>
            <w:bookmarkStart w:id="0" w:name="_GoBack"/>
            <w:bookmarkEnd w:id="0"/>
          </w:p>
        </w:tc>
      </w:tr>
    </w:tbl>
    <w:p w14:paraId="25B0F33A">
      <w:pPr>
        <w:rPr>
          <w:rFonts w:hint="eastAsia" w:ascii="Times New Roman" w:hAnsi="Times New Roman" w:eastAsia="仿宋_GB2312"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B88D19-7891-40E8-9EF1-956DDD7106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6370CCB-CFAA-4BF7-AE15-BD13CDAD5483}"/>
  </w:font>
  <w:font w:name="方正小标宋简体">
    <w:panose1 w:val="02000000000000000000"/>
    <w:charset w:val="86"/>
    <w:family w:val="script"/>
    <w:pitch w:val="default"/>
    <w:sig w:usb0="00000001" w:usb1="080E0000" w:usb2="00000000" w:usb3="00000000" w:csb0="00040000" w:csb1="00000000"/>
    <w:embedRegular r:id="rId3" w:fontKey="{D0D9B5F0-A1E0-486A-A995-8512F3E8C069}"/>
  </w:font>
  <w:font w:name="仿宋_GB2312">
    <w:panose1 w:val="02010609030101010101"/>
    <w:charset w:val="86"/>
    <w:family w:val="modern"/>
    <w:pitch w:val="default"/>
    <w:sig w:usb0="00000001" w:usb1="080E0000" w:usb2="00000000" w:usb3="00000000" w:csb0="00040000" w:csb1="00000000"/>
    <w:embedRegular r:id="rId4" w:fontKey="{044AFE77-1484-41F7-BD5C-D42D551DFB41}"/>
  </w:font>
  <w:font w:name="Wingdings 2">
    <w:panose1 w:val="05020102010507070707"/>
    <w:charset w:val="02"/>
    <w:family w:val="roman"/>
    <w:pitch w:val="default"/>
    <w:sig w:usb0="00000000" w:usb1="00000000" w:usb2="00000000" w:usb3="00000000" w:csb0="80000000" w:csb1="00000000"/>
    <w:embedRegular r:id="rId5" w:fontKey="{96A6B18F-4612-4E8E-B3F9-8A87602C0C9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8068D"/>
    <w:multiLevelType w:val="multilevel"/>
    <w:tmpl w:val="0128068D"/>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1">
    <w:nsid w:val="3BAC0707"/>
    <w:multiLevelType w:val="multilevel"/>
    <w:tmpl w:val="3BAC070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47B7FC7"/>
    <w:multiLevelType w:val="multilevel"/>
    <w:tmpl w:val="647B7FC7"/>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3">
    <w:nsid w:val="6F387FDC"/>
    <w:multiLevelType w:val="multilevel"/>
    <w:tmpl w:val="6F387FDC"/>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4">
    <w:nsid w:val="6FFC667D"/>
    <w:multiLevelType w:val="multilevel"/>
    <w:tmpl w:val="6FFC667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64"/>
    <w:rsid w:val="00077BCD"/>
    <w:rsid w:val="00440551"/>
    <w:rsid w:val="00484364"/>
    <w:rsid w:val="007B022A"/>
    <w:rsid w:val="007E0F0E"/>
    <w:rsid w:val="009F4159"/>
    <w:rsid w:val="00CA04C4"/>
    <w:rsid w:val="00CE0E3B"/>
    <w:rsid w:val="00F11FF3"/>
    <w:rsid w:val="0D32029F"/>
    <w:rsid w:val="11AF6ABF"/>
    <w:rsid w:val="148454B5"/>
    <w:rsid w:val="14C1161B"/>
    <w:rsid w:val="16BC1C2B"/>
    <w:rsid w:val="1BB27DC7"/>
    <w:rsid w:val="1DA03727"/>
    <w:rsid w:val="25224860"/>
    <w:rsid w:val="25875AFA"/>
    <w:rsid w:val="25D826BD"/>
    <w:rsid w:val="26F44A9A"/>
    <w:rsid w:val="27D374C9"/>
    <w:rsid w:val="32ED680E"/>
    <w:rsid w:val="344633FE"/>
    <w:rsid w:val="35FA5E74"/>
    <w:rsid w:val="367B0D63"/>
    <w:rsid w:val="37DD04F3"/>
    <w:rsid w:val="39B9000F"/>
    <w:rsid w:val="3F600EF1"/>
    <w:rsid w:val="4450382F"/>
    <w:rsid w:val="4AC663E1"/>
    <w:rsid w:val="4CBD7ED0"/>
    <w:rsid w:val="4E157897"/>
    <w:rsid w:val="54003029"/>
    <w:rsid w:val="56BD4ED4"/>
    <w:rsid w:val="5923730C"/>
    <w:rsid w:val="5A867B53"/>
    <w:rsid w:val="5BE70AC5"/>
    <w:rsid w:val="7D76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26E5" w:themeColor="hyperlink"/>
      <w:u w:val="single"/>
      <w14:textFill>
        <w14:solidFill>
          <w14:schemeClr w14:val="hlink"/>
        </w14:solidFill>
      </w14:textFill>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paragraph" w:styleId="11">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2087</Words>
  <Characters>2187</Characters>
  <Lines>16</Lines>
  <Paragraphs>4</Paragraphs>
  <TotalTime>25</TotalTime>
  <ScaleCrop>false</ScaleCrop>
  <LinksUpToDate>false</LinksUpToDate>
  <CharactersWithSpaces>2232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2025-03-19T06:15:00Z</dcterms:created>
  <dc:creator>施静敏</dc:creator>
  <cp:lastModifiedBy>施静敏</cp:lastModifiedBy>
  <dcterms:modified xsi:type="dcterms:W3CDTF">2025-04-01T06:20:44Z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eyJoZGlkIjoiZGZhYmZiZGUwOTI2ZTAzODE2NjFjMGVmNzU3YzJhYTMiLCJ1c2VySWQiOiIyNTI2MDAyMjcifQ==</vt:lpwstr>
  </property>
  <property fmtid="{D5CDD505-2E9C-101B-9397-08002B2CF9AE}" pid="4" name="ICV">
    <vt:lpwstr>9C9F8D8BF3AD44FBBF3FF4B6678FA184_12</vt:lpwstr>
  </property>
</Properties>
</file>